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652" w:rsidRPr="00685FBB" w:rsidRDefault="00685FBB" w:rsidP="00685FBB">
      <w:pPr>
        <w:tabs>
          <w:tab w:val="left" w:pos="3735"/>
        </w:tabs>
        <w:rPr>
          <w:rFonts w:ascii="Garamond" w:hAnsi="Garamond"/>
          <w:bCs/>
          <w:i/>
          <w:sz w:val="24"/>
        </w:rPr>
      </w:pPr>
      <w:r>
        <w:rPr>
          <w:rFonts w:ascii="Garamond" w:hAnsi="Garamond"/>
          <w:bCs/>
          <w:sz w:val="24"/>
        </w:rPr>
        <w:tab/>
      </w:r>
      <w:r w:rsidRPr="00685FBB">
        <w:rPr>
          <w:rFonts w:ascii="Garamond" w:hAnsi="Garamond"/>
          <w:bCs/>
          <w:i/>
          <w:sz w:val="24"/>
        </w:rPr>
        <w:t>Organismo Interno di Vigilanza</w:t>
      </w:r>
    </w:p>
    <w:p w:rsidR="00685FBB" w:rsidRPr="00685FBB" w:rsidRDefault="00685FBB" w:rsidP="00685FBB">
      <w:pPr>
        <w:jc w:val="center"/>
        <w:rPr>
          <w:rFonts w:ascii="Garamond" w:hAnsi="Garamond"/>
          <w:bCs/>
          <w:i/>
          <w:sz w:val="24"/>
        </w:rPr>
      </w:pPr>
      <w:r w:rsidRPr="00685FBB">
        <w:rPr>
          <w:rFonts w:ascii="Garamond" w:hAnsi="Garamond"/>
          <w:bCs/>
          <w:i/>
          <w:sz w:val="24"/>
        </w:rPr>
        <w:t>Responsabile della Prevenzione della Trasparenza e della Corruzione</w:t>
      </w:r>
    </w:p>
    <w:p w:rsidR="00110652" w:rsidRPr="00685FBB" w:rsidRDefault="00110652">
      <w:pPr>
        <w:spacing w:line="360" w:lineRule="auto"/>
        <w:ind w:firstLine="709"/>
        <w:jc w:val="both"/>
        <w:rPr>
          <w:b/>
          <w:bCs/>
          <w:i/>
          <w:sz w:val="24"/>
        </w:rPr>
      </w:pPr>
    </w:p>
    <w:p w:rsidR="00685FBB" w:rsidRPr="000030AC" w:rsidRDefault="00CB782E" w:rsidP="00685FBB">
      <w:pPr>
        <w:spacing w:before="120" w:after="360" w:line="276" w:lineRule="auto"/>
        <w:jc w:val="center"/>
        <w:rPr>
          <w:rFonts w:ascii="Titillium" w:hAnsi="Titillium"/>
          <w:b/>
          <w:bCs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-554355</wp:posOffset>
                </wp:positionH>
                <wp:positionV relativeFrom="page">
                  <wp:posOffset>3317240</wp:posOffset>
                </wp:positionV>
                <wp:extent cx="342900" cy="5311140"/>
                <wp:effectExtent l="3810" t="2540" r="0" b="127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31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652" w:rsidRDefault="00110652">
                            <w:pPr>
                              <w:rPr>
                                <w:rFonts w:ascii="Garamond" w:hAnsi="Garamond"/>
                                <w:sz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8"/>
                              </w:rPr>
                              <w:t xml:space="preserve">Cap.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sz w:val="16"/>
                                <w:szCs w:val="18"/>
                              </w:rPr>
                              <w:t>Soc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sz w:val="16"/>
                                <w:szCs w:val="18"/>
                              </w:rPr>
                              <w:t xml:space="preserve">. € 516.000,00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sz w:val="16"/>
                                <w:szCs w:val="18"/>
                              </w:rPr>
                              <w:t>i.v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sz w:val="16"/>
                                <w:szCs w:val="18"/>
                              </w:rPr>
                              <w:t xml:space="preserve">. – n.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sz w:val="16"/>
                                <w:szCs w:val="18"/>
                              </w:rPr>
                              <w:t>iscr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sz w:val="16"/>
                                <w:szCs w:val="18"/>
                              </w:rPr>
                              <w:t>. R.E.A. 94733–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sz w:val="16"/>
                                <w:szCs w:val="18"/>
                              </w:rPr>
                              <w:t>Trib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sz w:val="16"/>
                                <w:szCs w:val="18"/>
                              </w:rPr>
                              <w:t xml:space="preserve">. Palermo Reg.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sz w:val="16"/>
                                <w:szCs w:val="18"/>
                              </w:rPr>
                              <w:t>Soc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sz w:val="16"/>
                                <w:szCs w:val="18"/>
                              </w:rPr>
                              <w:t xml:space="preserve">.  n.20924 Vol. 142/35 – Cod.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sz w:val="16"/>
                                <w:szCs w:val="18"/>
                              </w:rPr>
                              <w:t>Fisc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sz w:val="16"/>
                                <w:szCs w:val="18"/>
                              </w:rPr>
                              <w:t>. 02591470824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43.65pt;margin-top:261.2pt;width:27pt;height:41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" stroked="f">
                <v:textbox style="layout-flow:vertical;mso-layout-flow-alt:bottom-to-top">
                  <w:txbxContent>
                    <w:p w:rsidR="00110652" w:rsidRDefault="00110652">
                      <w:pPr>
                        <w:rPr>
                          <w:rFonts w:ascii="Garamond" w:hAnsi="Garamond"/>
                          <w:sz w:val="18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8"/>
                        </w:rPr>
                        <w:t>Cap. Soc. € 516.000,00 i.v. – n. iscr. R.E.A. 94733–Trib. Palermo Reg. Soc.  n.20924 Vol. 142/35 – Cod. Fisc. 02591470824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85FBB" w:rsidRPr="000030AC">
        <w:rPr>
          <w:rFonts w:ascii="Titillium" w:hAnsi="Titillium"/>
          <w:b/>
          <w:bCs/>
        </w:rPr>
        <w:t xml:space="preserve">Documento di attestazione </w:t>
      </w:r>
    </w:p>
    <w:p w:rsidR="00685FBB" w:rsidRPr="000030AC" w:rsidRDefault="00685FBB" w:rsidP="00685FBB">
      <w:pPr>
        <w:pStyle w:val="Paragrafoelenco"/>
        <w:numPr>
          <w:ilvl w:val="0"/>
          <w:numId w:val="2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 xml:space="preserve">L’Organismo o il soggetto con funzioni analoghe all’OIV individuato presso </w:t>
      </w:r>
      <w:r>
        <w:rPr>
          <w:rFonts w:ascii="Titillium" w:hAnsi="Titillium" w:cs="Times New Roman"/>
          <w:sz w:val="20"/>
          <w:szCs w:val="20"/>
        </w:rPr>
        <w:t xml:space="preserve">la Società Resais </w:t>
      </w:r>
      <w:proofErr w:type="gramStart"/>
      <w:r>
        <w:rPr>
          <w:rFonts w:ascii="Titillium" w:hAnsi="Titillium" w:cs="Times New Roman"/>
          <w:sz w:val="20"/>
          <w:szCs w:val="20"/>
        </w:rPr>
        <w:t xml:space="preserve">Spa </w:t>
      </w:r>
      <w:r w:rsidRPr="000030AC">
        <w:rPr>
          <w:rFonts w:ascii="Titillium" w:hAnsi="Titillium" w:cs="Times New Roman"/>
          <w:sz w:val="20"/>
          <w:szCs w:val="20"/>
        </w:rPr>
        <w:t xml:space="preserve"> ha</w:t>
      </w:r>
      <w:proofErr w:type="gramEnd"/>
      <w:r w:rsidRPr="000030AC">
        <w:rPr>
          <w:rFonts w:ascii="Titillium" w:hAnsi="Titillium" w:cs="Times New Roman"/>
          <w:sz w:val="20"/>
          <w:szCs w:val="20"/>
        </w:rPr>
        <w:t xml:space="preserve"> effettuato, alla luce delle </w:t>
      </w:r>
      <w:r w:rsidRPr="000030AC">
        <w:rPr>
          <w:rFonts w:ascii="Titillium" w:hAnsi="Titillium" w:cs="Times New Roman"/>
          <w:b/>
          <w:sz w:val="20"/>
          <w:szCs w:val="20"/>
        </w:rPr>
        <w:t xml:space="preserve">delibere ANAC n. 1134/2017 e n. 294/2021, </w:t>
      </w:r>
      <w:r w:rsidRPr="000030AC">
        <w:rPr>
          <w:rFonts w:ascii="Titillium" w:hAnsi="Titillium" w:cs="Times New Roman"/>
          <w:sz w:val="20"/>
          <w:szCs w:val="20"/>
        </w:rPr>
        <w:t xml:space="preserve">la verifica sulla pubblicazione, sulla completezza, sull’aggiornamento e sull’apertura del formato di ciascun documento, dato ed informazione elencati nell’Allegato 2.2 – Griglia di rilevazione al </w:t>
      </w:r>
      <w:r w:rsidRPr="000030AC">
        <w:rPr>
          <w:rFonts w:ascii="Titillium" w:hAnsi="Titillium" w:cs="Times New Roman"/>
          <w:b/>
          <w:sz w:val="20"/>
          <w:szCs w:val="20"/>
        </w:rPr>
        <w:t>31 maggio 2021</w:t>
      </w:r>
      <w:r w:rsidRPr="000030AC">
        <w:rPr>
          <w:rFonts w:ascii="Titillium" w:hAnsi="Titillium" w:cs="Times New Roman"/>
          <w:sz w:val="20"/>
          <w:szCs w:val="20"/>
        </w:rPr>
        <w:t xml:space="preserve"> della delibera n. 294/2021.</w:t>
      </w:r>
    </w:p>
    <w:p w:rsidR="00685FBB" w:rsidRPr="000030AC" w:rsidRDefault="00685FBB" w:rsidP="00685FBB">
      <w:pPr>
        <w:pStyle w:val="Paragrafoelenco"/>
        <w:numPr>
          <w:ilvl w:val="0"/>
          <w:numId w:val="2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L’Organismo o il soggetto con funzioni analoghe all’OIV ha svolto gli accertamenti:</w:t>
      </w:r>
    </w:p>
    <w:p w:rsidR="00685FBB" w:rsidRPr="000030AC" w:rsidRDefault="00685FBB" w:rsidP="00685FBB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 xml:space="preserve"> tenendo anche conto dei risultati e degli elementi emersi dall’attività di controllo sull’assolvimento degli obblighi di pubblicazione svolta dal Responsabile della prevenzione della corruzione e della trasparenza ai sensi dell’art. 43, co. 1, del d.lgs. n. 33/2013;</w:t>
      </w:r>
    </w:p>
    <w:p w:rsidR="00685FBB" w:rsidRPr="000030AC" w:rsidRDefault="00685FBB" w:rsidP="00685FBB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 xml:space="preserve"> in assenza del Responsabile della prevenzione della corruzione e della trasparenza gli accertamenti sono stati svolti solo dall’Organismo o dal soggetto con funzioni analoghe all’OIV.</w:t>
      </w:r>
    </w:p>
    <w:p w:rsidR="00685FBB" w:rsidRPr="000030AC" w:rsidRDefault="00685FBB" w:rsidP="00685FBB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Sulla base di quanto sopra, l’Organismo o il soggetto con funzioni analoghe all’OIV</w:t>
      </w:r>
    </w:p>
    <w:p w:rsidR="00685FBB" w:rsidRPr="000030AC" w:rsidRDefault="00685FBB" w:rsidP="00685FBB">
      <w:pPr>
        <w:spacing w:before="120" w:after="360" w:line="276" w:lineRule="auto"/>
        <w:jc w:val="center"/>
        <w:rPr>
          <w:rFonts w:ascii="Titillium" w:hAnsi="Titillium"/>
          <w:b/>
        </w:rPr>
      </w:pPr>
      <w:bookmarkStart w:id="0" w:name="_GoBack"/>
      <w:bookmarkEnd w:id="0"/>
      <w:r w:rsidRPr="000030AC">
        <w:rPr>
          <w:rFonts w:ascii="Titillium" w:hAnsi="Titillium"/>
          <w:b/>
        </w:rPr>
        <w:t>ATTESTA CHE</w:t>
      </w:r>
    </w:p>
    <w:p w:rsidR="00685FBB" w:rsidRPr="000030AC" w:rsidRDefault="00685FBB" w:rsidP="00685FBB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i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Pr="000030AC">
        <w:rPr>
          <w:rFonts w:ascii="Titillium" w:hAnsi="Titillium"/>
          <w:sz w:val="20"/>
          <w:szCs w:val="20"/>
        </w:rPr>
        <w:t xml:space="preserve">La </w:t>
      </w:r>
      <w:proofErr w:type="gramStart"/>
      <w:r w:rsidRPr="000030AC">
        <w:rPr>
          <w:rFonts w:ascii="Titillium" w:hAnsi="Titillium"/>
          <w:sz w:val="20"/>
          <w:szCs w:val="20"/>
        </w:rPr>
        <w:t>società</w:t>
      </w:r>
      <w:r>
        <w:rPr>
          <w:rFonts w:ascii="Titillium" w:hAnsi="Titillium"/>
          <w:sz w:val="20"/>
          <w:szCs w:val="20"/>
        </w:rPr>
        <w:t xml:space="preserve"> </w:t>
      </w:r>
      <w:r w:rsidRPr="000030AC">
        <w:rPr>
          <w:rFonts w:ascii="Titillium" w:hAnsi="Titillium"/>
          <w:sz w:val="20"/>
          <w:szCs w:val="20"/>
        </w:rPr>
        <w:t xml:space="preserve"> ha</w:t>
      </w:r>
      <w:proofErr w:type="gramEnd"/>
      <w:r w:rsidRPr="000030AC">
        <w:rPr>
          <w:rFonts w:ascii="Titillium" w:hAnsi="Titillium"/>
          <w:sz w:val="20"/>
          <w:szCs w:val="20"/>
        </w:rPr>
        <w:t xml:space="preserve"> individuato misure organizzative che assicurano il regolare funzionamento dei flussi informativi per la pubblicazione dei dati nella sezione “</w:t>
      </w:r>
      <w:r w:rsidRPr="000030AC">
        <w:rPr>
          <w:rFonts w:ascii="Titillium" w:hAnsi="Titillium"/>
          <w:i/>
          <w:sz w:val="20"/>
          <w:szCs w:val="20"/>
        </w:rPr>
        <w:t xml:space="preserve">Amministrazione trasparente” </w:t>
      </w:r>
    </w:p>
    <w:p w:rsidR="00685FBB" w:rsidRPr="000030AC" w:rsidRDefault="00685FBB" w:rsidP="00685FBB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Pr="000030AC">
        <w:rPr>
          <w:rFonts w:ascii="Titillium" w:hAnsi="Titillium"/>
          <w:sz w:val="20"/>
          <w:szCs w:val="20"/>
        </w:rPr>
        <w:t xml:space="preserve">La </w:t>
      </w:r>
      <w:proofErr w:type="gramStart"/>
      <w:r w:rsidRPr="000030AC">
        <w:rPr>
          <w:rFonts w:ascii="Titillium" w:hAnsi="Titillium"/>
          <w:sz w:val="20"/>
          <w:szCs w:val="20"/>
        </w:rPr>
        <w:t>società</w:t>
      </w:r>
      <w:r>
        <w:rPr>
          <w:rFonts w:ascii="Titillium" w:hAnsi="Titillium"/>
          <w:sz w:val="20"/>
          <w:szCs w:val="20"/>
        </w:rPr>
        <w:t xml:space="preserve"> </w:t>
      </w:r>
      <w:r w:rsidRPr="000030AC">
        <w:rPr>
          <w:rFonts w:ascii="Titillium" w:hAnsi="Titillium"/>
          <w:sz w:val="20"/>
          <w:szCs w:val="20"/>
        </w:rPr>
        <w:t xml:space="preserve"> ha</w:t>
      </w:r>
      <w:proofErr w:type="gramEnd"/>
      <w:r w:rsidRPr="000030AC">
        <w:rPr>
          <w:rFonts w:ascii="Titillium" w:hAnsi="Titillium"/>
          <w:sz w:val="20"/>
          <w:szCs w:val="20"/>
        </w:rPr>
        <w:t xml:space="preserve"> individuato nella sezione Trasparenza del PTPCT i responsabili della trasmissione e della pubblicazione dei documenti, delle informazioni e dei dati ai sensi dell’art. 10 del d.lgs. 33/2013;</w:t>
      </w:r>
    </w:p>
    <w:p w:rsidR="00685FBB" w:rsidRPr="000030AC" w:rsidRDefault="00685FBB" w:rsidP="00685FBB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0030AC">
        <w:rPr>
          <w:rFonts w:ascii="Titillium" w:hAnsi="Titillium"/>
          <w:sz w:val="20"/>
          <w:szCs w:val="20"/>
        </w:rPr>
        <w:t>d.lgs. 33/2013;</w:t>
      </w:r>
    </w:p>
    <w:p w:rsidR="00685FBB" w:rsidRPr="000030AC" w:rsidRDefault="00685FBB" w:rsidP="00685FBB">
      <w:pPr>
        <w:pStyle w:val="Paragrafoelenco"/>
        <w:spacing w:before="120" w:after="0" w:line="276" w:lineRule="auto"/>
        <w:ind w:left="388" w:firstLine="38"/>
        <w:rPr>
          <w:rFonts w:ascii="Titillium" w:hAnsi="Titillium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/>
          <w:sz w:val="20"/>
          <w:szCs w:val="20"/>
        </w:rPr>
        <w:t xml:space="preserve"> La </w:t>
      </w:r>
      <w:proofErr w:type="gramStart"/>
      <w:r w:rsidRPr="000030AC">
        <w:rPr>
          <w:rFonts w:ascii="Titillium" w:hAnsi="Titillium"/>
          <w:sz w:val="20"/>
          <w:szCs w:val="20"/>
        </w:rPr>
        <w:t>società</w:t>
      </w:r>
      <w:r>
        <w:rPr>
          <w:rFonts w:ascii="Titillium" w:hAnsi="Titillium"/>
          <w:sz w:val="20"/>
          <w:szCs w:val="20"/>
        </w:rPr>
        <w:t xml:space="preserve"> </w:t>
      </w:r>
      <w:r w:rsidRPr="000030AC">
        <w:rPr>
          <w:rFonts w:ascii="Titillium" w:hAnsi="Titillium"/>
          <w:sz w:val="20"/>
          <w:szCs w:val="20"/>
        </w:rPr>
        <w:t xml:space="preserve"> NON</w:t>
      </w:r>
      <w:proofErr w:type="gramEnd"/>
      <w:r w:rsidRPr="000030AC">
        <w:rPr>
          <w:rFonts w:ascii="Titillium" w:hAnsi="Titillium"/>
          <w:sz w:val="20"/>
          <w:szCs w:val="20"/>
        </w:rPr>
        <w:t xml:space="preserve"> ha disposto filtri e/o altre soluzioni tecniche atte ad impedire ai motori di ricerca </w:t>
      </w:r>
      <w:r w:rsidRPr="000030AC">
        <w:rPr>
          <w:rFonts w:ascii="Titillium" w:hAnsi="Titillium"/>
          <w:i/>
          <w:sz w:val="20"/>
          <w:szCs w:val="20"/>
        </w:rPr>
        <w:t>web</w:t>
      </w:r>
      <w:r w:rsidRPr="000030AC">
        <w:rPr>
          <w:rFonts w:ascii="Titillium" w:hAnsi="Titillium"/>
          <w:sz w:val="20"/>
          <w:szCs w:val="20"/>
        </w:rPr>
        <w:t xml:space="preserve"> di indicizzare ed effettuare ricerche all’interno della sezione “</w:t>
      </w:r>
      <w:r w:rsidRPr="000030AC">
        <w:rPr>
          <w:rFonts w:ascii="Titillium" w:hAnsi="Titillium"/>
          <w:i/>
          <w:sz w:val="20"/>
          <w:szCs w:val="20"/>
        </w:rPr>
        <w:t>Amministrazione trasparente” o ”Società trasparente”</w:t>
      </w:r>
      <w:r w:rsidRPr="000030AC">
        <w:rPr>
          <w:rFonts w:ascii="Titillium" w:hAnsi="Titillium"/>
          <w:sz w:val="20"/>
          <w:szCs w:val="20"/>
        </w:rPr>
        <w:t>, salvo le ipotesi consentite dalla normativa vigente;</w:t>
      </w:r>
    </w:p>
    <w:p w:rsidR="00685FBB" w:rsidRPr="000030AC" w:rsidRDefault="00685FBB" w:rsidP="00F72FD0">
      <w:pPr>
        <w:pStyle w:val="Paragrafoelenco"/>
        <w:widowControl/>
        <w:spacing w:before="120" w:after="0" w:line="240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0030AC">
        <w:rPr>
          <w:rFonts w:ascii="Titillium" w:hAnsi="Titillium" w:cs="Times New Roman"/>
          <w:b/>
          <w:sz w:val="20"/>
          <w:szCs w:val="20"/>
        </w:rPr>
        <w:t>ATTESTA</w:t>
      </w:r>
    </w:p>
    <w:p w:rsidR="00685FBB" w:rsidRPr="000030AC" w:rsidRDefault="00685FBB" w:rsidP="00F72FD0">
      <w:pPr>
        <w:pStyle w:val="Paragrafoelenco"/>
        <w:widowControl/>
        <w:spacing w:before="120" w:after="0" w:line="240" w:lineRule="auto"/>
        <w:ind w:left="388" w:firstLine="0"/>
        <w:rPr>
          <w:rFonts w:ascii="Titillium" w:hAnsi="Titillium"/>
          <w:sz w:val="20"/>
          <w:szCs w:val="20"/>
        </w:rPr>
      </w:pPr>
      <w:proofErr w:type="gramStart"/>
      <w:r w:rsidRPr="000030AC">
        <w:rPr>
          <w:rFonts w:ascii="Titillium" w:hAnsi="Titillium" w:cs="Times New Roman"/>
          <w:sz w:val="20"/>
          <w:szCs w:val="20"/>
        </w:rPr>
        <w:t>la</w:t>
      </w:r>
      <w:proofErr w:type="gramEnd"/>
      <w:r w:rsidRPr="000030AC">
        <w:rPr>
          <w:rFonts w:ascii="Titillium" w:hAnsi="Titillium" w:cs="Times New Roman"/>
          <w:sz w:val="20"/>
          <w:szCs w:val="20"/>
        </w:rPr>
        <w:t xml:space="preserve"> veridicità</w:t>
      </w:r>
      <w:r w:rsidRPr="000030AC">
        <w:rPr>
          <w:rStyle w:val="Rimandonotaapidipagina"/>
          <w:rFonts w:ascii="Titillium" w:hAnsi="Titillium" w:cs="Times New Roman"/>
          <w:sz w:val="20"/>
          <w:szCs w:val="20"/>
        </w:rPr>
        <w:footnoteReference w:id="1"/>
      </w:r>
      <w:r w:rsidRPr="000030AC">
        <w:rPr>
          <w:rFonts w:ascii="Titillium" w:hAnsi="Titillium" w:cs="Times New Roman"/>
          <w:sz w:val="20"/>
          <w:szCs w:val="20"/>
        </w:rPr>
        <w:t xml:space="preserve"> e l’attendibilità, alla data dell’attestazione</w:t>
      </w:r>
      <w:r w:rsidRPr="000030AC">
        <w:rPr>
          <w:rFonts w:ascii="Titillium" w:hAnsi="Titillium"/>
          <w:sz w:val="20"/>
          <w:szCs w:val="20"/>
        </w:rPr>
        <w:t>,</w:t>
      </w:r>
      <w:r w:rsidRPr="000030AC">
        <w:rPr>
          <w:rFonts w:ascii="Titillium" w:hAnsi="Titillium" w:cs="Times New Roman"/>
          <w:sz w:val="20"/>
          <w:szCs w:val="20"/>
        </w:rPr>
        <w:t xml:space="preserve"> di quanto riportato nell’Allegato 2.2</w:t>
      </w:r>
      <w:r w:rsidRPr="000030AC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0030AC">
        <w:rPr>
          <w:rFonts w:ascii="Titillium" w:hAnsi="Titillium" w:cs="Times New Roman"/>
          <w:sz w:val="20"/>
          <w:szCs w:val="20"/>
        </w:rPr>
        <w:t>rispetto a quanto pubblicat</w:t>
      </w:r>
      <w:r w:rsidRPr="000030AC">
        <w:rPr>
          <w:rFonts w:ascii="Titillium" w:hAnsi="Titillium"/>
          <w:sz w:val="20"/>
          <w:szCs w:val="20"/>
        </w:rPr>
        <w:t>o sul sito della società</w:t>
      </w:r>
      <w:r>
        <w:rPr>
          <w:rFonts w:ascii="Titillium" w:hAnsi="Titillium"/>
          <w:sz w:val="20"/>
          <w:szCs w:val="20"/>
        </w:rPr>
        <w:t xml:space="preserve"> </w:t>
      </w:r>
      <w:r w:rsidRPr="000030AC">
        <w:rPr>
          <w:rFonts w:ascii="Titillium" w:hAnsi="Titillium"/>
          <w:sz w:val="20"/>
          <w:szCs w:val="20"/>
        </w:rPr>
        <w:t>.</w:t>
      </w:r>
    </w:p>
    <w:p w:rsidR="00685FBB" w:rsidRPr="000030AC" w:rsidRDefault="00685FBB" w:rsidP="00F72FD0">
      <w:pPr>
        <w:rPr>
          <w:rFonts w:ascii="Titillium" w:hAnsi="Titillium"/>
        </w:rPr>
      </w:pPr>
    </w:p>
    <w:p w:rsidR="00685FBB" w:rsidRPr="000030AC" w:rsidRDefault="00685FBB" w:rsidP="00F72FD0">
      <w:pPr>
        <w:spacing w:before="120"/>
        <w:rPr>
          <w:rFonts w:ascii="Titillium" w:hAnsi="Titillium"/>
        </w:rPr>
      </w:pPr>
      <w:proofErr w:type="gramStart"/>
      <w:r w:rsidRPr="000030AC">
        <w:rPr>
          <w:rFonts w:ascii="Titillium" w:hAnsi="Titillium"/>
        </w:rPr>
        <w:t xml:space="preserve">Data </w:t>
      </w:r>
      <w:r>
        <w:rPr>
          <w:rFonts w:ascii="Titillium" w:hAnsi="Titillium"/>
        </w:rPr>
        <w:t xml:space="preserve"> 29</w:t>
      </w:r>
      <w:proofErr w:type="gramEnd"/>
      <w:r>
        <w:rPr>
          <w:rFonts w:ascii="Titillium" w:hAnsi="Titillium"/>
        </w:rPr>
        <w:t>/06/2021</w:t>
      </w:r>
      <w:r>
        <w:rPr>
          <w:rFonts w:ascii="Titillium" w:hAnsi="Titillium"/>
        </w:rPr>
        <w:tab/>
        <w:t xml:space="preserve">    </w:t>
      </w:r>
      <w:r>
        <w:rPr>
          <w:rFonts w:ascii="Titillium" w:hAnsi="Titillium"/>
        </w:rPr>
        <w:tab/>
      </w:r>
      <w:r>
        <w:rPr>
          <w:rFonts w:ascii="Titillium" w:hAnsi="Titillium"/>
        </w:rPr>
        <w:tab/>
      </w:r>
      <w:r>
        <w:rPr>
          <w:rFonts w:ascii="Titillium" w:hAnsi="Titillium"/>
        </w:rPr>
        <w:tab/>
      </w:r>
      <w:r w:rsidRPr="000030AC">
        <w:rPr>
          <w:rFonts w:ascii="Titillium" w:hAnsi="Titillium"/>
        </w:rPr>
        <w:t>Firma dei componenti dell’OIV</w:t>
      </w:r>
      <w:r>
        <w:rPr>
          <w:rFonts w:ascii="Titillium" w:hAnsi="Titillium"/>
        </w:rPr>
        <w:t xml:space="preserve"> </w:t>
      </w:r>
    </w:p>
    <w:p w:rsidR="00110652" w:rsidRDefault="00685FBB">
      <w:pPr>
        <w:spacing w:line="360" w:lineRule="auto"/>
        <w:jc w:val="both"/>
        <w:rPr>
          <w:sz w:val="24"/>
          <w:lang w:bidi="he-IL"/>
        </w:rPr>
      </w:pPr>
      <w:r>
        <w:rPr>
          <w:sz w:val="24"/>
          <w:lang w:bidi="he-IL"/>
        </w:rPr>
        <w:tab/>
      </w:r>
      <w:r>
        <w:rPr>
          <w:sz w:val="24"/>
          <w:lang w:bidi="he-IL"/>
        </w:rPr>
        <w:tab/>
      </w:r>
      <w:r>
        <w:rPr>
          <w:sz w:val="24"/>
          <w:lang w:bidi="he-IL"/>
        </w:rPr>
        <w:tab/>
      </w:r>
      <w:r>
        <w:rPr>
          <w:sz w:val="24"/>
          <w:lang w:bidi="he-IL"/>
        </w:rPr>
        <w:tab/>
      </w:r>
      <w:r>
        <w:rPr>
          <w:sz w:val="24"/>
          <w:lang w:bidi="he-IL"/>
        </w:rPr>
        <w:tab/>
      </w:r>
      <w:r>
        <w:rPr>
          <w:sz w:val="24"/>
          <w:lang w:bidi="he-IL"/>
        </w:rPr>
        <w:tab/>
      </w:r>
      <w:r>
        <w:rPr>
          <w:sz w:val="24"/>
          <w:lang w:bidi="he-IL"/>
        </w:rPr>
        <w:tab/>
        <w:t xml:space="preserve">Dott. Cimino Giuseppe </w:t>
      </w:r>
    </w:p>
    <w:p w:rsidR="00685FBB" w:rsidRDefault="00685FBB" w:rsidP="00685FBB">
      <w:pPr>
        <w:spacing w:line="360" w:lineRule="auto"/>
        <w:jc w:val="both"/>
        <w:rPr>
          <w:sz w:val="24"/>
          <w:lang w:bidi="he-IL"/>
        </w:rPr>
      </w:pPr>
      <w:r>
        <w:rPr>
          <w:sz w:val="24"/>
          <w:lang w:bidi="he-IL"/>
        </w:rPr>
        <w:tab/>
      </w:r>
      <w:r>
        <w:rPr>
          <w:sz w:val="24"/>
          <w:lang w:bidi="he-IL"/>
        </w:rPr>
        <w:tab/>
      </w:r>
      <w:r>
        <w:rPr>
          <w:sz w:val="24"/>
          <w:lang w:bidi="he-IL"/>
        </w:rPr>
        <w:tab/>
      </w:r>
      <w:r>
        <w:rPr>
          <w:sz w:val="24"/>
          <w:lang w:bidi="he-IL"/>
        </w:rPr>
        <w:tab/>
      </w:r>
      <w:r>
        <w:rPr>
          <w:sz w:val="24"/>
          <w:lang w:bidi="he-IL"/>
        </w:rPr>
        <w:tab/>
      </w:r>
      <w:r>
        <w:rPr>
          <w:sz w:val="24"/>
          <w:lang w:bidi="he-IL"/>
        </w:rPr>
        <w:tab/>
      </w:r>
      <w:r>
        <w:rPr>
          <w:sz w:val="24"/>
          <w:lang w:bidi="he-IL"/>
        </w:rPr>
        <w:tab/>
        <w:t xml:space="preserve">Dott.sa </w:t>
      </w:r>
      <w:proofErr w:type="spellStart"/>
      <w:r>
        <w:rPr>
          <w:sz w:val="24"/>
          <w:lang w:bidi="he-IL"/>
        </w:rPr>
        <w:t>Bannò</w:t>
      </w:r>
      <w:proofErr w:type="spellEnd"/>
      <w:r>
        <w:rPr>
          <w:sz w:val="24"/>
          <w:lang w:bidi="he-IL"/>
        </w:rPr>
        <w:t xml:space="preserve"> Maria </w:t>
      </w:r>
    </w:p>
    <w:p w:rsidR="00685FBB" w:rsidRDefault="00685FBB" w:rsidP="00685FBB">
      <w:pPr>
        <w:spacing w:line="360" w:lineRule="auto"/>
        <w:ind w:left="4254" w:firstLine="709"/>
        <w:jc w:val="both"/>
        <w:rPr>
          <w:rFonts w:ascii="Titillium" w:hAnsi="Titillium"/>
        </w:rPr>
      </w:pPr>
      <w:r>
        <w:rPr>
          <w:sz w:val="24"/>
          <w:lang w:bidi="he-IL"/>
        </w:rPr>
        <w:t xml:space="preserve">Dott. Fiumara Rodolfo </w:t>
      </w:r>
    </w:p>
    <w:p w:rsidR="00110652" w:rsidRDefault="00685FBB" w:rsidP="00685FBB">
      <w:pPr>
        <w:spacing w:line="360" w:lineRule="auto"/>
        <w:ind w:left="3545" w:firstLine="709"/>
        <w:jc w:val="both"/>
        <w:rPr>
          <w:rFonts w:ascii="Titillium" w:hAnsi="Titillium"/>
        </w:rPr>
      </w:pPr>
      <w:r>
        <w:rPr>
          <w:rFonts w:ascii="Titillium" w:hAnsi="Titillium"/>
        </w:rPr>
        <w:t xml:space="preserve">Firma </w:t>
      </w:r>
      <w:proofErr w:type="gramStart"/>
      <w:r>
        <w:rPr>
          <w:rFonts w:ascii="Titillium" w:hAnsi="Titillium"/>
        </w:rPr>
        <w:t>del  R.P.T.C</w:t>
      </w:r>
      <w:proofErr w:type="gramEnd"/>
    </w:p>
    <w:p w:rsidR="00685FBB" w:rsidRDefault="00685FBB" w:rsidP="00685FBB">
      <w:pPr>
        <w:spacing w:line="360" w:lineRule="auto"/>
        <w:ind w:left="4254" w:firstLine="709"/>
        <w:jc w:val="both"/>
        <w:rPr>
          <w:sz w:val="24"/>
        </w:rPr>
      </w:pPr>
      <w:r w:rsidRPr="00685FBB">
        <w:rPr>
          <w:sz w:val="24"/>
          <w:lang w:bidi="he-IL"/>
        </w:rPr>
        <w:t xml:space="preserve">Dott. </w:t>
      </w:r>
      <w:proofErr w:type="spellStart"/>
      <w:r w:rsidRPr="00685FBB">
        <w:rPr>
          <w:sz w:val="24"/>
          <w:lang w:bidi="he-IL"/>
        </w:rPr>
        <w:t>Princiotta</w:t>
      </w:r>
      <w:proofErr w:type="spellEnd"/>
      <w:r w:rsidRPr="00685FBB">
        <w:rPr>
          <w:sz w:val="24"/>
          <w:lang w:bidi="he-IL"/>
        </w:rPr>
        <w:t xml:space="preserve"> Costantino Mario</w:t>
      </w:r>
      <w:r>
        <w:rPr>
          <w:rFonts w:ascii="Titillium" w:hAnsi="Titillium"/>
        </w:rPr>
        <w:t xml:space="preserve"> </w:t>
      </w:r>
    </w:p>
    <w:sectPr w:rsidR="00685FBB">
      <w:headerReference w:type="default" r:id="rId7"/>
      <w:footerReference w:type="default" r:id="rId8"/>
      <w:pgSz w:w="11906" w:h="16838"/>
      <w:pgMar w:top="2095" w:right="1134" w:bottom="993" w:left="1134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652" w:rsidRDefault="00110652">
      <w:r>
        <w:separator/>
      </w:r>
    </w:p>
  </w:endnote>
  <w:endnote w:type="continuationSeparator" w:id="0">
    <w:p w:rsidR="00110652" w:rsidRDefault="0011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ronet">
    <w:panose1 w:val="03030502040406070605"/>
    <w:charset w:val="00"/>
    <w:family w:val="script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652" w:rsidRDefault="00110652">
    <w:pPr>
      <w:pStyle w:val="Titolo8"/>
      <w:pBdr>
        <w:top w:val="single" w:sz="4" w:space="1" w:color="auto"/>
      </w:pBdr>
      <w:rPr>
        <w:rFonts w:ascii="Coronet" w:hAnsi="Coronet"/>
        <w:sz w:val="34"/>
        <w:szCs w:val="34"/>
      </w:rPr>
    </w:pPr>
    <w:r>
      <w:rPr>
        <w:rFonts w:ascii="Coronet" w:hAnsi="Coronet"/>
        <w:sz w:val="34"/>
        <w:szCs w:val="34"/>
      </w:rPr>
      <w:t>Sede: 901</w:t>
    </w:r>
    <w:r w:rsidR="0054429B">
      <w:rPr>
        <w:rFonts w:ascii="Coronet" w:hAnsi="Coronet"/>
        <w:sz w:val="34"/>
        <w:szCs w:val="34"/>
      </w:rPr>
      <w:t xml:space="preserve">41 Palermo • Piazza Castelnuovo n. 35 </w:t>
    </w:r>
    <w:r>
      <w:rPr>
        <w:rFonts w:ascii="Coronet" w:hAnsi="Coronet"/>
        <w:sz w:val="34"/>
        <w:szCs w:val="34"/>
      </w:rPr>
      <w:t>• Tel. 091 7906710 • Fax 091 7308501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652" w:rsidRDefault="00110652">
      <w:r>
        <w:separator/>
      </w:r>
    </w:p>
  </w:footnote>
  <w:footnote w:type="continuationSeparator" w:id="0">
    <w:p w:rsidR="00110652" w:rsidRDefault="00110652">
      <w:r>
        <w:continuationSeparator/>
      </w:r>
    </w:p>
  </w:footnote>
  <w:footnote w:id="1">
    <w:p w:rsidR="00685FBB" w:rsidRDefault="00685FBB" w:rsidP="00685FBB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  <w:r>
        <w:rPr>
          <w:rFonts w:ascii="Garamond" w:hAnsi="Garamond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652" w:rsidRDefault="00110652">
    <w:pPr>
      <w:pStyle w:val="Titolo8"/>
      <w:rPr>
        <w:rFonts w:ascii="Wide Latin" w:hAnsi="Wide Latin" w:cs="Microsoft Sans Serif"/>
        <w:b/>
        <w:sz w:val="40"/>
        <w:szCs w:val="40"/>
      </w:rPr>
    </w:pPr>
    <w:r>
      <w:rPr>
        <w:rFonts w:ascii="Wide Latin" w:hAnsi="Wide Latin" w:cs="Microsoft Sans Serif"/>
        <w:b/>
        <w:sz w:val="40"/>
        <w:szCs w:val="40"/>
      </w:rPr>
      <w:t>RESAIS</w:t>
    </w:r>
  </w:p>
  <w:p w:rsidR="00110652" w:rsidRDefault="00110652">
    <w:pPr>
      <w:pStyle w:val="Titolo8"/>
      <w:ind w:left="-284" w:right="-425"/>
    </w:pPr>
    <w:r>
      <w:rPr>
        <w:rFonts w:ascii="Coronet" w:hAnsi="Coronet"/>
        <w:spacing w:val="28"/>
        <w:sz w:val="38"/>
        <w:szCs w:val="38"/>
      </w:rPr>
      <w:t>Risanamento e Sviluppo Attività Industriali Siciliane S.p.A. (socio unico)</w:t>
    </w:r>
  </w:p>
  <w:p w:rsidR="00110652" w:rsidRDefault="00CB782E">
    <w:pPr>
      <w:pStyle w:val="Titolo8"/>
      <w:ind w:left="-284" w:right="-425"/>
      <w:rPr>
        <w:rFonts w:ascii="Coronet" w:hAnsi="Coronet"/>
        <w:spacing w:val="28"/>
        <w:sz w:val="24"/>
        <w:szCs w:val="26"/>
      </w:rPr>
    </w:pPr>
    <w:r>
      <w:rPr>
        <w:noProof/>
        <w:sz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6102985</wp:posOffset>
          </wp:positionH>
          <wp:positionV relativeFrom="paragraph">
            <wp:posOffset>1270</wp:posOffset>
          </wp:positionV>
          <wp:extent cx="203835" cy="205740"/>
          <wp:effectExtent l="0" t="0" r="5715" b="3810"/>
          <wp:wrapTopAndBottom/>
          <wp:docPr id="1" name="Immagine 1" descr="Regione_Sicilia-logo picc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e_Sicilia-logo picco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2631" b="14737"/>
                  <a:stretch>
                    <a:fillRect/>
                  </a:stretch>
                </pic:blipFill>
                <pic:spPr bwMode="auto">
                  <a:xfrm>
                    <a:off x="0" y="0"/>
                    <a:ext cx="203835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652">
      <w:rPr>
        <w:rFonts w:ascii="Coronet" w:hAnsi="Coronet"/>
        <w:spacing w:val="28"/>
        <w:sz w:val="24"/>
        <w:szCs w:val="26"/>
      </w:rPr>
      <w:t>Società soggetta ad attività di direzione e coordinamento da parte della Regione Siciliana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C53E3"/>
    <w:multiLevelType w:val="hybridMultilevel"/>
    <w:tmpl w:val="24CAA0E4"/>
    <w:lvl w:ilvl="0" w:tplc="F9AAA69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3" w:dllVersion="517" w:checkStyle="1"/>
  <w:proofState w:spelling="clean" w:grammar="clean"/>
  <w:attachedTemplate r:id="rId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9B"/>
    <w:rsid w:val="00110652"/>
    <w:rsid w:val="0054429B"/>
    <w:rsid w:val="00685FBB"/>
    <w:rsid w:val="00B51E85"/>
    <w:rsid w:val="00CB782E"/>
    <w:rsid w:val="00DA20D9"/>
    <w:rsid w:val="00F7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247BA91B-E25F-4ABF-B904-30D53B6B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napToGrid w:val="0"/>
      <w:sz w:val="24"/>
    </w:rPr>
  </w:style>
  <w:style w:type="paragraph" w:styleId="Titolo4">
    <w:name w:val="heading 4"/>
    <w:basedOn w:val="Normale"/>
    <w:next w:val="Normale"/>
    <w:qFormat/>
    <w:pPr>
      <w:keepNext/>
      <w:ind w:left="180"/>
      <w:outlineLvl w:val="3"/>
    </w:pPr>
    <w:rPr>
      <w:sz w:val="32"/>
      <w:szCs w:val="32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firstLine="708"/>
      <w:outlineLvl w:val="8"/>
    </w:pPr>
    <w:rPr>
      <w:b/>
      <w:i/>
      <w:snapToGrid w:val="0"/>
      <w:color w:val="0000FF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firstLine="708"/>
    </w:pPr>
    <w:rPr>
      <w:snapToGrid w:val="0"/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TxBrp6">
    <w:name w:val="TxBr_p6"/>
    <w:basedOn w:val="Normale"/>
    <w:pPr>
      <w:tabs>
        <w:tab w:val="left" w:pos="1235"/>
      </w:tabs>
      <w:spacing w:line="240" w:lineRule="atLeast"/>
      <w:ind w:left="545"/>
    </w:pPr>
    <w:rPr>
      <w:snapToGrid w:val="0"/>
      <w:sz w:val="24"/>
    </w:rPr>
  </w:style>
  <w:style w:type="paragraph" w:styleId="Testodelblocco">
    <w:name w:val="Block Text"/>
    <w:basedOn w:val="Normale"/>
    <w:semiHidden/>
    <w:pPr>
      <w:ind w:left="426" w:right="708" w:hanging="426"/>
      <w:jc w:val="both"/>
    </w:pPr>
    <w:rPr>
      <w:sz w:val="28"/>
      <w:szCs w:val="28"/>
    </w:rPr>
  </w:style>
  <w:style w:type="paragraph" w:styleId="Rientrocorpodeltesto2">
    <w:name w:val="Body Text Indent 2"/>
    <w:basedOn w:val="Normale"/>
    <w:semiHidden/>
    <w:pPr>
      <w:spacing w:after="120" w:line="480" w:lineRule="auto"/>
      <w:ind w:left="283"/>
    </w:pPr>
  </w:style>
  <w:style w:type="character" w:customStyle="1" w:styleId="CarattereCarattere1">
    <w:name w:val="Carattere Carattere1"/>
    <w:basedOn w:val="Carpredefinitoparagrafo"/>
  </w:style>
  <w:style w:type="paragraph" w:styleId="Corpodeltesto2">
    <w:name w:val="Body Text 2"/>
    <w:basedOn w:val="Normale"/>
    <w:semiHidden/>
    <w:pPr>
      <w:spacing w:after="120" w:line="480" w:lineRule="auto"/>
    </w:pPr>
  </w:style>
  <w:style w:type="character" w:customStyle="1" w:styleId="CarattereCarattere">
    <w:name w:val="Carattere Carattere"/>
    <w:basedOn w:val="Carpredefinitoparagrafo"/>
  </w:style>
  <w:style w:type="paragraph" w:customStyle="1" w:styleId="bustamittente">
    <w:name w:val="busta mittente"/>
    <w:basedOn w:val="Normale"/>
  </w:style>
  <w:style w:type="character" w:styleId="Testosegnaposto">
    <w:name w:val="Placeholder Text"/>
    <w:semiHidden/>
    <w:rPr>
      <w:color w:val="808080"/>
    </w:rPr>
  </w:style>
  <w:style w:type="paragraph" w:customStyle="1" w:styleId="TxBrc18">
    <w:name w:val="TxBr_c18"/>
    <w:basedOn w:val="Normale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character" w:styleId="Rimandonotaapidipagina">
    <w:name w:val="footnote reference"/>
    <w:rsid w:val="00685FBB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685FBB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cs="Cambria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85FBB"/>
    <w:rPr>
      <w:rFonts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85FBB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ind w:left="357" w:hanging="357"/>
      <w:jc w:val="both"/>
    </w:pPr>
    <w:rPr>
      <w:rFonts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artino\Desktop\ggg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ggg.dot</Template>
  <TotalTime>1</TotalTime>
  <Pages>1</Pages>
  <Words>305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Sig</vt:lpstr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</dc:title>
  <dc:subject/>
  <dc:creator>UFFICIO PERSONALE - GF;DiMartino</dc:creator>
  <cp:keywords/>
  <cp:lastModifiedBy>UFFICIO PERSONALE - GF</cp:lastModifiedBy>
  <cp:revision>3</cp:revision>
  <cp:lastPrinted>2021-06-29T09:54:00Z</cp:lastPrinted>
  <dcterms:created xsi:type="dcterms:W3CDTF">2021-06-29T09:36:00Z</dcterms:created>
  <dcterms:modified xsi:type="dcterms:W3CDTF">2021-06-29T09:55:00Z</dcterms:modified>
</cp:coreProperties>
</file>